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C2D" w:rsidRPr="00880158" w:rsidRDefault="008E30B1" w:rsidP="00880158">
      <w:pPr>
        <w:spacing w:after="0"/>
        <w:jc w:val="center"/>
        <w:rPr>
          <w:sz w:val="48"/>
        </w:rPr>
      </w:pPr>
      <w:r w:rsidRPr="00880158">
        <w:rPr>
          <w:sz w:val="48"/>
        </w:rPr>
        <w:t>CIABATTINI BOLLA ASSICURAZIONI SRL</w:t>
      </w:r>
    </w:p>
    <w:p w:rsidR="007C378D" w:rsidRDefault="007C378D" w:rsidP="00880158">
      <w:pPr>
        <w:spacing w:after="0"/>
        <w:jc w:val="center"/>
      </w:pPr>
      <w:r>
        <w:t>Sede Legale: Via IV Novembre 10/b Sassari</w:t>
      </w:r>
    </w:p>
    <w:p w:rsidR="008E30B1" w:rsidRDefault="008E30B1" w:rsidP="00880158">
      <w:pPr>
        <w:spacing w:after="0"/>
        <w:jc w:val="center"/>
      </w:pPr>
      <w:r>
        <w:t>Sede operativa: Via Porto Romano 3/A Olbia</w:t>
      </w:r>
    </w:p>
    <w:p w:rsidR="00880158" w:rsidRDefault="00880158" w:rsidP="00880158">
      <w:pPr>
        <w:spacing w:after="0"/>
        <w:jc w:val="center"/>
      </w:pPr>
    </w:p>
    <w:p w:rsidR="007C378D" w:rsidRDefault="008E30B1" w:rsidP="007C378D">
      <w:pPr>
        <w:spacing w:after="0"/>
        <w:jc w:val="center"/>
        <w:rPr>
          <w:sz w:val="36"/>
        </w:rPr>
      </w:pPr>
      <w:bookmarkStart w:id="0" w:name="_GoBack"/>
      <w:r w:rsidRPr="007C378D">
        <w:rPr>
          <w:sz w:val="36"/>
        </w:rPr>
        <w:t>Dichiarazione sui principali effetti negativi delle consulenz</w:t>
      </w:r>
      <w:r w:rsidR="007C378D">
        <w:rPr>
          <w:sz w:val="36"/>
        </w:rPr>
        <w:t>e</w:t>
      </w:r>
    </w:p>
    <w:p w:rsidR="008E30B1" w:rsidRPr="007C378D" w:rsidRDefault="008E30B1" w:rsidP="007C378D">
      <w:pPr>
        <w:spacing w:after="0"/>
        <w:jc w:val="center"/>
        <w:rPr>
          <w:sz w:val="36"/>
        </w:rPr>
      </w:pPr>
      <w:r w:rsidRPr="007C378D">
        <w:rPr>
          <w:sz w:val="36"/>
        </w:rPr>
        <w:t xml:space="preserve"> in materia di investimenti sui fattori di sostenibilità</w:t>
      </w:r>
    </w:p>
    <w:p w:rsidR="008E30B1" w:rsidRPr="007C378D" w:rsidRDefault="008E30B1" w:rsidP="007C378D">
      <w:pPr>
        <w:jc w:val="center"/>
        <w:rPr>
          <w:sz w:val="24"/>
        </w:rPr>
      </w:pPr>
      <w:r w:rsidRPr="007C378D">
        <w:rPr>
          <w:sz w:val="24"/>
        </w:rPr>
        <w:t>Ai sensi del Reg.</w:t>
      </w:r>
      <w:r w:rsidR="00880158">
        <w:rPr>
          <w:sz w:val="24"/>
        </w:rPr>
        <w:t xml:space="preserve"> UE 2022/1288 che integra il</w:t>
      </w:r>
      <w:r w:rsidRPr="007C378D">
        <w:rPr>
          <w:sz w:val="24"/>
        </w:rPr>
        <w:t xml:space="preserve"> Reg. UE 2019/2088</w:t>
      </w:r>
    </w:p>
    <w:p w:rsidR="008E30B1" w:rsidRPr="00880158" w:rsidRDefault="008E30B1">
      <w:pPr>
        <w:rPr>
          <w:b/>
          <w:u w:val="single"/>
        </w:rPr>
      </w:pPr>
      <w:r w:rsidRPr="00880158">
        <w:rPr>
          <w:b/>
          <w:u w:val="single"/>
        </w:rPr>
        <w:t>Valutazione dei principali effetti negativi di sostenibilità delle consulenze assicurative</w:t>
      </w:r>
    </w:p>
    <w:p w:rsidR="008E30B1" w:rsidRDefault="008E30B1" w:rsidP="00880158">
      <w:pPr>
        <w:jc w:val="both"/>
      </w:pPr>
      <w:r>
        <w:t xml:space="preserve">Nel processo di intermediazione di prodotti di investimento assicurativi </w:t>
      </w:r>
      <w:proofErr w:type="spellStart"/>
      <w:r>
        <w:t>IBIPs</w:t>
      </w:r>
      <w:proofErr w:type="spellEnd"/>
      <w:r>
        <w:t xml:space="preserve"> l’intermediario considera i principali effetti negativo sui fattori di sostenibilità tramite la proposta al cliente di prodotti assicurativi con componente finanziaria i cui effetti negativi siano presidiati da un adeguato processo di dovuta diligenza volto a identificare, prevenire e mitigare tali effetti.</w:t>
      </w:r>
    </w:p>
    <w:p w:rsidR="008E30B1" w:rsidRDefault="008E30B1" w:rsidP="00880158">
      <w:pPr>
        <w:jc w:val="both"/>
      </w:pPr>
      <w:r>
        <w:t xml:space="preserve">Per l’identificazione degli effetti negativi vengono utilizzate le informazioni trasmesse direttamente dal produttore al fine di distinguere prodotto </w:t>
      </w:r>
      <w:proofErr w:type="spellStart"/>
      <w:r>
        <w:t>IBIPs</w:t>
      </w:r>
      <w:proofErr w:type="spellEnd"/>
      <w:r>
        <w:t xml:space="preserve"> sostenibili, ovvero quei prodotti che con un grado di ambizione differente contribuiscono al raggiungimento degli obiettivi ESG, da quelli non focalizzati sulla sostenibilità</w:t>
      </w:r>
      <w:r w:rsidR="007C378D">
        <w:t>.</w:t>
      </w:r>
    </w:p>
    <w:p w:rsidR="007C378D" w:rsidRDefault="007C378D" w:rsidP="00880158">
      <w:pPr>
        <w:jc w:val="both"/>
      </w:pPr>
      <w:r>
        <w:t>Risulta così possibile elaborare per i prodotti offerti in consulenza la presente dichiarazione circa l’effettiva – o in alternativa la mancata – considerazione degli effetti negativi relativi al clima e all’ambiente, quali le emissioni di gas a effetto serra, la biodiversità, le risorse idriche, i rifiuti e concernenti le questioni sociali e di tutela dei diritti umani e dei lavoratori, come la violazione dei principi del Global Compact delle Nazioni Unite e delle linee guida dell’Organizzazione per la cooperazione e lo sviluppo economico (OCSE) destinate alle imprese multinazionali, il divario retributivo di genere e la diversità di genere.</w:t>
      </w:r>
    </w:p>
    <w:p w:rsidR="007C378D" w:rsidRDefault="007C378D" w:rsidP="00880158">
      <w:pPr>
        <w:jc w:val="both"/>
      </w:pPr>
      <w:r>
        <w:t>L’intermediario, inoltre, in rispetto di quanto previsto dal produttore del quale si distribuiscono i prodotti e dalla normativa di riferimento, si impegna a non offrire prodotti relativi a società operanti in settori legati alla produzione di armi controverse, come le mine antiuomo, le munizioni a grappolo, le armi chimiche o biologiche, nonché gli investimenti caratterizzati da un elevato rischio di sostenibilità.</w:t>
      </w:r>
    </w:p>
    <w:p w:rsidR="007C378D" w:rsidRDefault="007C378D" w:rsidP="00880158">
      <w:pPr>
        <w:jc w:val="both"/>
      </w:pPr>
      <w:r>
        <w:t>Operativamente, nello svolgimento della propria attività l’intermediario rispetta tale valutazione tramite l’utilizzo dei sistemi informativi e dei questionari messi a disposizione dai produttori, progettati per rilevare in modo dettagliato le eventuali preferenze di sostenibilità e ad arricchire il processo di erogazione del servizio di consulenza e di valutazione dei portafogli con le tematiche ESG.</w:t>
      </w:r>
    </w:p>
    <w:p w:rsidR="007C378D" w:rsidRDefault="007C378D"/>
    <w:p w:rsidR="007C378D" w:rsidRDefault="007C378D"/>
    <w:p w:rsidR="007C378D" w:rsidRDefault="007C378D">
      <w:r>
        <w:t>Data, 01.01.2025</w:t>
      </w:r>
    </w:p>
    <w:p w:rsidR="00880158" w:rsidRDefault="0088015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 Soci della società</w:t>
      </w:r>
    </w:p>
    <w:p w:rsidR="00880158" w:rsidRDefault="0088015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Ciabattini Bolla Assicurazioni Srl</w:t>
      </w:r>
      <w:bookmarkEnd w:id="0"/>
    </w:p>
    <w:sectPr w:rsidR="008801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0B1"/>
    <w:rsid w:val="00674C2D"/>
    <w:rsid w:val="007C378D"/>
    <w:rsid w:val="00880158"/>
    <w:rsid w:val="008E30B1"/>
    <w:rsid w:val="00E4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Roberto</cp:lastModifiedBy>
  <cp:revision>1</cp:revision>
  <cp:lastPrinted>2025-07-23T13:25:00Z</cp:lastPrinted>
  <dcterms:created xsi:type="dcterms:W3CDTF">2025-07-23T12:58:00Z</dcterms:created>
  <dcterms:modified xsi:type="dcterms:W3CDTF">2025-07-23T14:12:00Z</dcterms:modified>
</cp:coreProperties>
</file>